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DD5" w:rsidRDefault="0014472F" w:rsidP="008B5AF2">
      <w:pPr>
        <w:spacing w:line="276" w:lineRule="auto"/>
        <w:ind w:right="360"/>
        <w:jc w:val="center"/>
        <w:rPr>
          <w:b/>
          <w:i/>
        </w:rPr>
      </w:pPr>
      <w:r>
        <w:rPr>
          <w:b/>
          <w:i/>
        </w:rPr>
        <w:t>Перечень экзаменационных вопросов по ортодонтии</w:t>
      </w:r>
    </w:p>
    <w:p w:rsidR="00C13DD5" w:rsidRDefault="00C13DD5">
      <w:pPr>
        <w:spacing w:line="276" w:lineRule="auto"/>
        <w:ind w:right="360"/>
        <w:rPr>
          <w:b/>
          <w:i/>
        </w:rPr>
      </w:pP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rPr>
          <w:bCs/>
          <w:iCs/>
        </w:rPr>
        <w:t>Обследование пациента в клинике ортодонтии: внешний осмотр, осмотр полости рта, височно-нижнечелюстного сустава.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Рентгенологический метод обследования ортодонтического пациента</w:t>
      </w:r>
      <w:r>
        <w:t>(изучение ортопантомограммы).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Рентгенологический метод обследования ортодонтического пациента (изучение КТ).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 xml:space="preserve">Телерентгенография (показания, методики анализа ТРГ). 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Методика проведения телерентгенографии головы в прямой и боковой проекции.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Рентгеноцефаломет</w:t>
      </w:r>
      <w:r>
        <w:t>рический анализ зубочелюстных аномалий.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Антропометрический метод исследования диагностических моделей челюстей (исследование формы зубных дуг - индексы Пона, Корхгауза, симметроскопия).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Антропометрический метод исследования диагностических моделей челюстей</w:t>
      </w:r>
      <w:r>
        <w:t xml:space="preserve"> (соответствие размеров зубов – индексы Тонна, Болтона).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Антропометрический метод исследования диагностических моделей челюстей (измерение апикального базиса челюстей по методики Снагиной).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Функциональные методы исследования в ортодонтии (определения жеват</w:t>
      </w:r>
      <w:r>
        <w:t>ельной эффективности  по Рубинову, Гельману, Кристенсену, статические методы определения жевательной эффективности по Оксману, Агапову).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  <w:rPr>
          <w:b/>
        </w:rPr>
      </w:pPr>
      <w:r>
        <w:t>Функциональные методы исследования в ортодонтии (элекстромиография,  миотонометрия).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Протезирование зубов  у детей с мо</w:t>
      </w:r>
      <w:r>
        <w:t>лочным прикусом, сменным прикусом при ранней потере молочных зубов и разрушении зубов (показания,  виды протезов и методика).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Классификация ортодонтических аппаратов.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Внеротовые аппараты, применяемые для лечения аномалий зубочелюстной системы.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Ортодонтичес</w:t>
      </w:r>
      <w:r>
        <w:t>кие аппараты механического типа действия.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Ортодонтические аппараты функционального типа действия.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Ортодонтические аппараты комбинированного типа действия.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Активаторы и регуляторы функций.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Твин-блоки (показания, конструкция, особенности применения).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Профила</w:t>
      </w:r>
      <w:r>
        <w:t>ктические аппараты. Назначение, показания, виды, особенности применения.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Ретенционные аппараты. Назначение, показания, виды, особенности применения.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Применение аппарата быстрого небного расширения (показания, аппараты, противопоказания).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 xml:space="preserve"> Механизм расширен</w:t>
      </w:r>
      <w:r>
        <w:t>ия верхнего зубного ряда при методике быстрого небного расширения.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Элементы механического и функционального типа действия и фиксирующие элементы съемных ортодонтических аппаратов.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Этиология, патогенез, клиника открытого прикуса. Классификация и диагностика</w:t>
      </w:r>
      <w:r>
        <w:t xml:space="preserve"> открытого прикуса.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Особенности лечения различных форм открытого прикуса в молочном, сменном и постоянном прикусе.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Этиология, патогенез, клиника дистального прикуса. Классификация и диагностика дистального прикуса.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 xml:space="preserve">Особенности лечения различных форм </w:t>
      </w:r>
      <w:r>
        <w:t>дистального прикуса в молочном, сменном и постоянном прикусе.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Этиология, патогенез, клиника глубокого прикуса. Классификация и диагностика глубокого прикуса.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Особенности лечения различных форм глубокого прикуса в молочном, сменном и постоянном прикусе.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lastRenderedPageBreak/>
        <w:t>Эти</w:t>
      </w:r>
      <w:r>
        <w:t>ология, патогенез, клиника мезиального прикуса. Классификация и мезиального прикуса.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Особенности лечения различных форм мезиального прикуса в молочном, сменном и постоянном прикусе.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Этиология, патогенез, клиника перекрестного прикуса. Классификация и диагн</w:t>
      </w:r>
      <w:r>
        <w:t>остика перекрестного прикуса.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Особенности лечения различных форм перекрестного прикуса в молочном, сменном и постоянном прикусе.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Этиология, патогенез, клиника асимметрии. Классификация и диагностика асимметрии.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Особенности лечения различных форм асимметрии</w:t>
      </w:r>
      <w:r>
        <w:t xml:space="preserve"> в молочном, сменном и постоянном прикусе.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Морфо-функциональная характеристика беззубого рта новорожденного.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Морфо-функциональная характеристика молочного прикуса.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Морфо-функциональная характеристика сменного прикуса.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Морфо-функциональная характеристика по</w:t>
      </w:r>
      <w:r>
        <w:t>стоянного прикуса.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Виды прикусов. 6 ключей окклюзии по Эндрюсу. Признаки ортогнатического прикуса.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 xml:space="preserve">Особенности врачебной деонтологии при ортодонтическом лечении детей и взрослых. 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Предмет изучения дисциплины ортодонтия. Цели и задачи ортодонтического лечен</w:t>
      </w:r>
      <w:r>
        <w:t>ия. Иторрия развития ортодонтии (основные этапы).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Организация ортодонтической помощи. Организация работы ортодонтического отделения, кабинета. Дезинфекция и стерилизация ортодонтического инструментария.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Клиническое обследование ортодонтического пациента.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Принципы формулирования ортодонтического диагноза. Техника безопасности на ортодонтическом приеме. Медицинская документация в ортодонтии.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Профилактика зубочелюстных аномалий. Влияние вредных привычек на развитие зубочелюстной системы.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Развитие лицевого ске</w:t>
      </w:r>
      <w:r>
        <w:t>лета в эмбриональный период.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Классификация аномалий зубочелюстной системы по ВОЗ и МКБ 10.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Классификация аномалий зубочелюстной системы по Катцу, Энглю.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Строение зубных дуг. Аномалии формы зубных дуг. Этиология, клиника,  диагностика и лечение аномалий фор</w:t>
      </w:r>
      <w:r>
        <w:t>мы зубных дуг.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Классификация аномалий положения отдельных зубов. Этиология, клиника и лечение  тортоаномалии. Этиология, клиника и лечение трем, диастемы.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 xml:space="preserve">Этиология, клиника и лечение адентии. Этиология, клиника и лечение гипердентии. Этиология, клиника и </w:t>
      </w:r>
      <w:r>
        <w:t>лечение ретенции зубов.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Этиология, клиника, патогенез, диагностика аномалий размеров челюстей. Лечение аномалий размеров челюстей.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 xml:space="preserve">Этиология, патогенез, диагностика аномалий положения челюстей относительно основания черепа. </w:t>
      </w:r>
      <w:r>
        <w:t>Клиника и лечение аномалий положения челюстей относительно основания черепа.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Врожденные пороки развития лицевого скелета (расщелины твердого и мягкого неба, верхней губы). Клиника, диагностика, лечение.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Врожденные пороки развития жаберных дуг. Клиника, диа</w:t>
      </w:r>
      <w:r>
        <w:t>гностика, лечение. Ангидротическая эктодермальная дисплазия. Клиника, диагностика, лечение.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Выбор метода лечения аномалий зубочелюстной системы.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Виды перемещения зубов при ортодонтическом лечении. Изменения в пародонте под влиянием ортодонтического лечения</w:t>
      </w:r>
      <w:r>
        <w:t>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Виды, характеристики и показания к применению ортодонтических дуг. Изгибы ортодонтических дуг (виды, показания, методика).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 xml:space="preserve">Виды и характеристики брекет-систем. Показания и противопоказания к применению брекет-систем. Методики позиционирования брекетов. 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lastRenderedPageBreak/>
        <w:t>Этапы лечения аномалий зубочелюстной системы с применением брекет-системы.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Аппараты, сочетающиеся с брекет-системой. Применение микроимплантатов при лечении аномалий зубочелюстной системы.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Анатомические и физиологические предпосылки развития рецидивов аном</w:t>
      </w:r>
      <w:r>
        <w:t>алий прикуса.</w:t>
      </w:r>
    </w:p>
    <w:p w:rsidR="00C13DD5" w:rsidRDefault="0014472F">
      <w:pPr>
        <w:numPr>
          <w:ilvl w:val="0"/>
          <w:numId w:val="3"/>
        </w:numPr>
        <w:spacing w:line="276" w:lineRule="auto"/>
        <w:ind w:right="360"/>
      </w:pPr>
      <w:r>
        <w:t>Аппараты, используемые для профилактики зубочелюстных аномалий.</w:t>
      </w:r>
    </w:p>
    <w:p w:rsidR="00C13DD5" w:rsidRDefault="00C13DD5">
      <w:pPr>
        <w:spacing w:line="276" w:lineRule="auto"/>
        <w:ind w:right="360"/>
        <w:rPr>
          <w:rFonts w:ascii="Calibri" w:hAnsi="Calibri"/>
          <w:sz w:val="22"/>
          <w:szCs w:val="22"/>
        </w:rPr>
      </w:pPr>
    </w:p>
    <w:p w:rsidR="00C13DD5" w:rsidRDefault="00C13DD5">
      <w:pPr>
        <w:spacing w:line="276" w:lineRule="auto"/>
        <w:ind w:right="360"/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C13DD5">
      <w:pgSz w:w="11906" w:h="16838" w:orient="landscape"/>
      <w:pgMar w:top="142" w:right="566" w:bottom="284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72F" w:rsidRDefault="0014472F">
      <w:r>
        <w:separator/>
      </w:r>
    </w:p>
  </w:endnote>
  <w:endnote w:type="continuationSeparator" w:id="0">
    <w:p w:rsidR="0014472F" w:rsidRDefault="0014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72F" w:rsidRDefault="0014472F">
      <w:r>
        <w:separator/>
      </w:r>
    </w:p>
  </w:footnote>
  <w:footnote w:type="continuationSeparator" w:id="0">
    <w:p w:rsidR="0014472F" w:rsidRDefault="00144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55D3C"/>
    <w:multiLevelType w:val="multilevel"/>
    <w:tmpl w:val="168C56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1B0188"/>
    <w:multiLevelType w:val="multilevel"/>
    <w:tmpl w:val="FC7CCF1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055D9"/>
    <w:multiLevelType w:val="multilevel"/>
    <w:tmpl w:val="3E7A626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22AB5"/>
    <w:multiLevelType w:val="multilevel"/>
    <w:tmpl w:val="26F28B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D7BDA"/>
    <w:multiLevelType w:val="multilevel"/>
    <w:tmpl w:val="72A6A3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F0907"/>
    <w:multiLevelType w:val="multilevel"/>
    <w:tmpl w:val="E6329EA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DD5"/>
    <w:rsid w:val="0014472F"/>
    <w:rsid w:val="008B5AF2"/>
    <w:rsid w:val="00C1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C47FF-E311-4410-B6D8-DC17B31B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5236</Characters>
  <Application>Microsoft Office Word</Application>
  <DocSecurity>0</DocSecurity>
  <Lines>43</Lines>
  <Paragraphs>12</Paragraphs>
  <ScaleCrop>false</ScaleCrop>
  <Company>home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экзаменационных вопросов по ортодонтии</dc:title>
  <dc:creator>user</dc:creator>
  <cp:lastModifiedBy>Наталья Тиунова</cp:lastModifiedBy>
  <cp:revision>22</cp:revision>
  <dcterms:created xsi:type="dcterms:W3CDTF">2023-11-13T11:53:00Z</dcterms:created>
  <dcterms:modified xsi:type="dcterms:W3CDTF">2023-11-17T07:39:00Z</dcterms:modified>
  <cp:version>1048576</cp:version>
</cp:coreProperties>
</file>